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5" w:rsidRDefault="00EC1657" w:rsidP="00BF4D04">
      <w:pPr>
        <w:jc w:val="center"/>
      </w:pPr>
      <w:r>
        <w:t xml:space="preserve">Relação de bolsas de iniciação ao trabalho designadas às </w:t>
      </w:r>
      <w:r w:rsidRPr="00EC1657">
        <w:rPr>
          <w:b/>
        </w:rPr>
        <w:t>Unidades Acadêmicas</w:t>
      </w:r>
    </w:p>
    <w:p w:rsidR="00EC1657" w:rsidRDefault="00EC1657" w:rsidP="00BF4D04">
      <w:pPr>
        <w:jc w:val="center"/>
      </w:pPr>
      <w:r>
        <w:t>Edital 10/2014/PRAE</w:t>
      </w:r>
    </w:p>
    <w:tbl>
      <w:tblPr>
        <w:tblStyle w:val="Tabelacomgrade"/>
        <w:tblW w:w="0" w:type="auto"/>
        <w:tblLook w:val="04A0"/>
      </w:tblPr>
      <w:tblGrid>
        <w:gridCol w:w="4361"/>
        <w:gridCol w:w="2449"/>
        <w:gridCol w:w="3152"/>
      </w:tblGrid>
      <w:tr w:rsidR="002E49F0" w:rsidTr="002E49F0">
        <w:tc>
          <w:tcPr>
            <w:tcW w:w="4361" w:type="dxa"/>
          </w:tcPr>
          <w:p w:rsidR="002E49F0" w:rsidRPr="002E49F0" w:rsidRDefault="002E49F0" w:rsidP="002E49F0">
            <w:pPr>
              <w:spacing w:line="360" w:lineRule="auto"/>
              <w:jc w:val="center"/>
              <w:rPr>
                <w:b/>
              </w:rPr>
            </w:pPr>
            <w:r w:rsidRPr="002E49F0">
              <w:rPr>
                <w:b/>
              </w:rPr>
              <w:t>Unidade</w:t>
            </w:r>
          </w:p>
        </w:tc>
        <w:tc>
          <w:tcPr>
            <w:tcW w:w="2449" w:type="dxa"/>
          </w:tcPr>
          <w:p w:rsidR="002E49F0" w:rsidRPr="002E49F0" w:rsidRDefault="002E49F0" w:rsidP="002E49F0">
            <w:pPr>
              <w:spacing w:line="360" w:lineRule="auto"/>
              <w:jc w:val="center"/>
              <w:rPr>
                <w:b/>
              </w:rPr>
            </w:pPr>
            <w:r w:rsidRPr="002E49F0">
              <w:rPr>
                <w:b/>
              </w:rPr>
              <w:t>Número de bolsas</w:t>
            </w:r>
          </w:p>
          <w:p w:rsidR="002E49F0" w:rsidRPr="002E49F0" w:rsidRDefault="002E49F0" w:rsidP="002E49F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E49F0">
              <w:rPr>
                <w:b/>
              </w:rPr>
              <w:t>autorizadas</w:t>
            </w:r>
            <w:proofErr w:type="gramEnd"/>
          </w:p>
        </w:tc>
        <w:tc>
          <w:tcPr>
            <w:tcW w:w="3152" w:type="dxa"/>
          </w:tcPr>
          <w:p w:rsidR="002E49F0" w:rsidRPr="002E49F0" w:rsidRDefault="002E49F0" w:rsidP="002E49F0">
            <w:pPr>
              <w:spacing w:line="360" w:lineRule="auto"/>
              <w:jc w:val="center"/>
              <w:rPr>
                <w:b/>
              </w:rPr>
            </w:pPr>
            <w:r w:rsidRPr="002E49F0">
              <w:rPr>
                <w:b/>
              </w:rPr>
              <w:t>Destinação das bolsas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Centro de Artes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Laboratórios/Ateliês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2E49F0">
            <w:pPr>
              <w:spacing w:line="360" w:lineRule="auto"/>
            </w:pPr>
            <w:r>
              <w:t>Centro de Desenvolvimento Tecnológico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3152" w:type="dxa"/>
          </w:tcPr>
          <w:p w:rsidR="002E49F0" w:rsidRDefault="002E49F0" w:rsidP="00217DEA">
            <w:pPr>
              <w:spacing w:line="360" w:lineRule="auto"/>
              <w:jc w:val="center"/>
            </w:pPr>
            <w:r>
              <w:t xml:space="preserve">TI </w:t>
            </w:r>
            <w:r w:rsidR="00217DEA">
              <w:t>–</w:t>
            </w:r>
            <w:r>
              <w:t xml:space="preserve"> </w:t>
            </w:r>
            <w:proofErr w:type="spellStart"/>
            <w:r>
              <w:t>Hidrossedi</w:t>
            </w:r>
            <w:r w:rsidR="00217DEA">
              <w:t>mentologia</w:t>
            </w:r>
            <w:proofErr w:type="spellEnd"/>
            <w:r w:rsidR="00217DEA">
              <w:t xml:space="preserve"> – Solos – Instrumentação/eletromecânica – </w:t>
            </w:r>
            <w:proofErr w:type="spellStart"/>
            <w:r w:rsidR="00217DEA">
              <w:t>Hidroquímica</w:t>
            </w:r>
            <w:proofErr w:type="spellEnd"/>
            <w:r w:rsidR="00217DEA">
              <w:t xml:space="preserve"> - Limnologia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 xml:space="preserve">Centro de Integração do </w:t>
            </w:r>
            <w:proofErr w:type="spellStart"/>
            <w:proofErr w:type="gramStart"/>
            <w:r>
              <w:t>Mercosul</w:t>
            </w:r>
            <w:proofErr w:type="spellEnd"/>
            <w:proofErr w:type="gramEnd"/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00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--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Centro de Letras e Comunicação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3152" w:type="dxa"/>
          </w:tcPr>
          <w:p w:rsidR="002E49F0" w:rsidRDefault="00217DEA" w:rsidP="002E49F0">
            <w:pPr>
              <w:spacing w:line="360" w:lineRule="auto"/>
              <w:jc w:val="center"/>
            </w:pPr>
            <w:r>
              <w:t>Laboratórios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Escola Superior de Educação Física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3152" w:type="dxa"/>
          </w:tcPr>
          <w:p w:rsidR="002E49F0" w:rsidRDefault="00217DEA" w:rsidP="002E49F0">
            <w:pPr>
              <w:spacing w:line="360" w:lineRule="auto"/>
              <w:jc w:val="center"/>
            </w:pPr>
            <w:proofErr w:type="gramStart"/>
            <w:r>
              <w:t>3</w:t>
            </w:r>
            <w:proofErr w:type="gramEnd"/>
            <w:r>
              <w:t xml:space="preserve"> LIF – 1 Sala de  Musculação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Faculdade de Agronomia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Laboratórios - Revista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Faculdade de Arquitetura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LIG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Faculdade de Educação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Revista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Faculdade de Enfermagem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Revista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Faculdade de Medicina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3152" w:type="dxa"/>
          </w:tcPr>
          <w:p w:rsidR="002E49F0" w:rsidRDefault="00217DEA" w:rsidP="00217DEA">
            <w:pPr>
              <w:spacing w:line="360" w:lineRule="auto"/>
              <w:jc w:val="center"/>
            </w:pPr>
            <w:r>
              <w:t xml:space="preserve">Laboratórios do curso de </w:t>
            </w:r>
            <w:r w:rsidR="002E49F0">
              <w:t>T</w:t>
            </w:r>
            <w:r>
              <w:t xml:space="preserve">erapia </w:t>
            </w:r>
            <w:r w:rsidR="002E49F0">
              <w:t>O</w:t>
            </w:r>
            <w:r>
              <w:t>cupacional</w:t>
            </w:r>
            <w:r w:rsidR="002E49F0">
              <w:t xml:space="preserve"> </w:t>
            </w:r>
            <w:r>
              <w:t>–</w:t>
            </w:r>
            <w:r w:rsidR="002E49F0">
              <w:t xml:space="preserve"> </w:t>
            </w:r>
            <w:proofErr w:type="gramStart"/>
            <w:r w:rsidR="002E49F0">
              <w:t>LIG</w:t>
            </w:r>
            <w:r>
              <w:t>(</w:t>
            </w:r>
            <w:proofErr w:type="gramEnd"/>
            <w:r>
              <w:t>1)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Faculdade de Turismo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Laboratórios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Faculdade de Veterinária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00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--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Instituto de Biologia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00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--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Instituto de Ciências Humanas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Núcleo de Documentação</w:t>
            </w:r>
          </w:p>
        </w:tc>
      </w:tr>
      <w:tr w:rsidR="002E49F0" w:rsidTr="002E49F0">
        <w:tc>
          <w:tcPr>
            <w:tcW w:w="4361" w:type="dxa"/>
          </w:tcPr>
          <w:p w:rsidR="002E49F0" w:rsidRDefault="002E49F0" w:rsidP="00EC1657">
            <w:pPr>
              <w:spacing w:line="360" w:lineRule="auto"/>
            </w:pPr>
            <w:r>
              <w:t>Instituto de Filosofia, Sociologia e Política</w:t>
            </w:r>
          </w:p>
        </w:tc>
        <w:tc>
          <w:tcPr>
            <w:tcW w:w="2449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3152" w:type="dxa"/>
          </w:tcPr>
          <w:p w:rsidR="002E49F0" w:rsidRDefault="002E49F0" w:rsidP="002E49F0">
            <w:pPr>
              <w:spacing w:line="360" w:lineRule="auto"/>
              <w:jc w:val="center"/>
            </w:pPr>
            <w:r>
              <w:t>Revistas - LIG</w:t>
            </w:r>
          </w:p>
        </w:tc>
      </w:tr>
    </w:tbl>
    <w:p w:rsidR="00EC1657" w:rsidRDefault="00EC1657"/>
    <w:p w:rsidR="00EC1657" w:rsidRDefault="00EC1657">
      <w:r>
        <w:t>Observações:</w:t>
      </w:r>
    </w:p>
    <w:p w:rsidR="00EC1657" w:rsidRDefault="00FA6468" w:rsidP="00BF4D04">
      <w:pPr>
        <w:jc w:val="both"/>
      </w:pPr>
      <w:r>
        <w:t xml:space="preserve">- </w:t>
      </w:r>
      <w:r w:rsidR="00EC1657">
        <w:t xml:space="preserve">A </w:t>
      </w:r>
      <w:r>
        <w:t>comissão utilizou como critério</w:t>
      </w:r>
      <w:r w:rsidR="00EC1657">
        <w:t xml:space="preserve"> para concessão das bolsas </w:t>
      </w:r>
      <w:r>
        <w:t xml:space="preserve">a justificativa que demonstre o caráter pedagógico, visando </w:t>
      </w:r>
      <w:r w:rsidR="00DC3A9B">
        <w:t>à</w:t>
      </w:r>
      <w:r>
        <w:t xml:space="preserve"> aprendizagem no ambiente do trabalho a ser desempenhado pelo bolsista</w:t>
      </w:r>
      <w:r w:rsidR="00D700B2">
        <w:t xml:space="preserve"> de acordo com a formação acadêmica</w:t>
      </w:r>
      <w:r>
        <w:t>.</w:t>
      </w:r>
    </w:p>
    <w:p w:rsidR="00FA6468" w:rsidRDefault="00FA6468" w:rsidP="00BF4D04">
      <w:pPr>
        <w:jc w:val="both"/>
      </w:pPr>
      <w:r>
        <w:t xml:space="preserve">- Foram desclassificados os pedidos em que a atividade a ser desempenhada pelo bolsista tenha ficado caracterizada como substituição ao trabalho de servidor técnico-administrativo do quadro da </w:t>
      </w:r>
      <w:proofErr w:type="spellStart"/>
      <w:proofErr w:type="gramStart"/>
      <w:r>
        <w:t>UFPel</w:t>
      </w:r>
      <w:proofErr w:type="spellEnd"/>
      <w:proofErr w:type="gramEnd"/>
      <w:r>
        <w:t>.</w:t>
      </w:r>
    </w:p>
    <w:p w:rsidR="00FA6468" w:rsidRDefault="00FA6468" w:rsidP="00BF4D04">
      <w:pPr>
        <w:jc w:val="both"/>
      </w:pPr>
      <w:r>
        <w:t xml:space="preserve">- Foram desclassificados os pedidos para atendimento de atividades de pesquisa, extensão e pós-graduação, </w:t>
      </w:r>
      <w:r w:rsidR="00951C6E" w:rsidRPr="00951C6E">
        <w:t>pois, nesse momento, a prioridade foi para atendimento de atividades de ensino de graduação.</w:t>
      </w:r>
    </w:p>
    <w:p w:rsidR="00FA6468" w:rsidRDefault="00FA6468" w:rsidP="00BF4D04">
      <w:pPr>
        <w:jc w:val="both"/>
      </w:pPr>
      <w:r>
        <w:t>- Não foram avaliados pedidos feitos fora da demanda da unidade acadêmica.</w:t>
      </w:r>
    </w:p>
    <w:p w:rsidR="00FA6468" w:rsidRDefault="00BF4D04" w:rsidP="00BF4D04">
      <w:pPr>
        <w:jc w:val="both"/>
      </w:pPr>
      <w:r>
        <w:lastRenderedPageBreak/>
        <w:t xml:space="preserve">- </w:t>
      </w:r>
      <w:r w:rsidR="00FA6468">
        <w:t xml:space="preserve">A seleção deve observar, além dos critérios dispostos no item </w:t>
      </w:r>
      <w:proofErr w:type="gramStart"/>
      <w:r w:rsidR="00FA6468">
        <w:t>5</w:t>
      </w:r>
      <w:proofErr w:type="gramEnd"/>
      <w:r w:rsidR="00FA6468">
        <w:t xml:space="preserve"> do Edital 10/2014, o critério de </w:t>
      </w:r>
      <w:r w:rsidR="00FA6468" w:rsidRPr="00BF4D04">
        <w:rPr>
          <w:b/>
        </w:rPr>
        <w:t>aprendizagem no ambiente de trabalho</w:t>
      </w:r>
      <w:r w:rsidR="00FA6468">
        <w:t>, devendo haver, portanto, alguma correlação entre a área de formação e as atividades desempenhadas pelo bolsista.</w:t>
      </w:r>
    </w:p>
    <w:p w:rsidR="00EC1657" w:rsidRDefault="00DC3A9B" w:rsidP="00D700B2">
      <w:pPr>
        <w:jc w:val="both"/>
      </w:pPr>
      <w:r>
        <w:t xml:space="preserve">- A seleção nas unidades contempladas com bolsas em número maior que </w:t>
      </w:r>
      <w:proofErr w:type="gramStart"/>
      <w:r>
        <w:t>1</w:t>
      </w:r>
      <w:proofErr w:type="gramEnd"/>
      <w:r>
        <w:t xml:space="preserve"> devem observar o percentual de 40% para candidatos em vulnerabilidade social (renda familiar de até 1,5 Salários Mínimos </w:t>
      </w:r>
      <w:r w:rsidRPr="00DC3A9B">
        <w:rPr>
          <w:i/>
        </w:rPr>
        <w:t>per capita</w:t>
      </w:r>
      <w:r>
        <w:t xml:space="preserve"> e/ou bolsistas da PRAE). As unidades contempladas com </w:t>
      </w:r>
      <w:proofErr w:type="gramStart"/>
      <w:r>
        <w:t>1</w:t>
      </w:r>
      <w:proofErr w:type="gramEnd"/>
      <w:r>
        <w:t xml:space="preserve"> bolsa devem </w:t>
      </w:r>
      <w:r w:rsidRPr="00DC3A9B">
        <w:rPr>
          <w:b/>
        </w:rPr>
        <w:t>dar preferência</w:t>
      </w:r>
      <w:r>
        <w:t xml:space="preserve"> a candidatos com esse critério.</w:t>
      </w:r>
    </w:p>
    <w:sectPr w:rsidR="00EC1657" w:rsidSect="00D700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657"/>
    <w:rsid w:val="00217DEA"/>
    <w:rsid w:val="002E49F0"/>
    <w:rsid w:val="00514747"/>
    <w:rsid w:val="008F4AA8"/>
    <w:rsid w:val="00951C6E"/>
    <w:rsid w:val="00BC6C50"/>
    <w:rsid w:val="00BD282A"/>
    <w:rsid w:val="00BF4D04"/>
    <w:rsid w:val="00D700B2"/>
    <w:rsid w:val="00DC3A9B"/>
    <w:rsid w:val="00E620B9"/>
    <w:rsid w:val="00EC1657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PRAE01</dc:creator>
  <cp:lastModifiedBy>PRAE01</cp:lastModifiedBy>
  <cp:revision>4</cp:revision>
  <dcterms:created xsi:type="dcterms:W3CDTF">2014-04-16T14:04:00Z</dcterms:created>
  <dcterms:modified xsi:type="dcterms:W3CDTF">2014-04-16T18:40:00Z</dcterms:modified>
</cp:coreProperties>
</file>